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 территории школы выделены следующие зоны: зона отдыха, физкультурно-спортивная и хозяйственная.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Спортивные мероприятия будут проводится на свежем воздухе, если погодные условия не будут позволять, то спортивное мероприятие будет заменяться на дру</w:t>
        <w:softHyphen/>
        <w:t>гое или перенесено в спортивный зал.</w:t>
      </w:r>
    </w:p>
    <w:sectPr>
      <w:footnotePr>
        <w:pos w:val="pageBottom"/>
        <w:numFmt w:val="decimal"/>
        <w:numRestart w:val="continuous"/>
      </w:footnotePr>
      <w:pgSz w:w="11900" w:h="16840"/>
      <w:pgMar w:top="711" w:right="631" w:bottom="711" w:left="1386" w:header="283" w:footer="28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Школа 134</dc:creator>
  <cp:keywords/>
</cp:coreProperties>
</file>